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652EAF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HCI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3201">
        <w:rPr>
          <w:rFonts w:ascii="Arial" w:hAnsi="Arial" w:cs="Arial"/>
          <w:b/>
          <w:sz w:val="20"/>
          <w:szCs w:val="20"/>
        </w:rPr>
        <w:t>A</w:t>
      </w:r>
      <w:r w:rsidR="00E43201" w:rsidRPr="00E43201">
        <w:rPr>
          <w:rFonts w:ascii="Arial" w:hAnsi="Arial" w:cs="Arial"/>
          <w:b/>
          <w:sz w:val="20"/>
          <w:szCs w:val="20"/>
        </w:rPr>
        <w:t>nnual General Mandate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60535">
        <w:rPr>
          <w:rFonts w:ascii="Arial" w:hAnsi="Arial" w:cs="Arial"/>
          <w:sz w:val="20"/>
          <w:szCs w:val="20"/>
        </w:rPr>
        <w:t>2</w:t>
      </w:r>
      <w:r w:rsidR="00F050BE">
        <w:rPr>
          <w:rFonts w:ascii="Arial" w:hAnsi="Arial" w:cs="Arial"/>
          <w:sz w:val="20"/>
          <w:szCs w:val="20"/>
        </w:rPr>
        <w:t>4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52EAF" w:rsidRPr="00652EAF">
        <w:rPr>
          <w:rFonts w:ascii="Arial" w:hAnsi="Arial" w:cs="Arial"/>
          <w:sz w:val="20"/>
          <w:szCs w:val="20"/>
        </w:rPr>
        <w:t>Hanoi Construction Investment Joint stock Company</w:t>
      </w:r>
      <w:r w:rsidR="00652EAF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3F38AB">
        <w:rPr>
          <w:rFonts w:ascii="Arial" w:hAnsi="Arial" w:cs="Arial"/>
          <w:sz w:val="20"/>
          <w:szCs w:val="20"/>
        </w:rPr>
        <w:t>annual General Mandate 2020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652EAF" w:rsidRDefault="00652EA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Approve the report of the Board of Directors on operation results of 2019, operation plan for 2020 of </w:t>
      </w:r>
      <w:r w:rsidRPr="00652EAF">
        <w:rPr>
          <w:rFonts w:ascii="Arial" w:hAnsi="Arial" w:cs="Arial"/>
          <w:sz w:val="20"/>
          <w:szCs w:val="20"/>
        </w:rPr>
        <w:t>Hanoi Construction Investment Joint stock Company</w:t>
      </w:r>
      <w:r>
        <w:rPr>
          <w:rFonts w:ascii="Arial" w:hAnsi="Arial" w:cs="Arial"/>
          <w:sz w:val="20"/>
          <w:szCs w:val="20"/>
        </w:rPr>
        <w:t xml:space="preserve"> as follows:</w:t>
      </w:r>
    </w:p>
    <w:p w:rsidR="00652EAF" w:rsidRDefault="00652EA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Operation results of 2019</w:t>
      </w:r>
    </w:p>
    <w:p w:rsidR="00652EAF" w:rsidRDefault="00652EA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million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556"/>
        <w:gridCol w:w="3192"/>
      </w:tblGrid>
      <w:tr w:rsidR="00652EAF" w:rsidTr="00652EAF">
        <w:tc>
          <w:tcPr>
            <w:tcW w:w="828" w:type="dxa"/>
          </w:tcPr>
          <w:p w:rsidR="00652EAF" w:rsidRDefault="00652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56" w:type="dxa"/>
          </w:tcPr>
          <w:p w:rsidR="00652EAF" w:rsidRDefault="00652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indicators</w:t>
            </w:r>
          </w:p>
        </w:tc>
        <w:tc>
          <w:tcPr>
            <w:tcW w:w="3192" w:type="dxa"/>
          </w:tcPr>
          <w:p w:rsidR="00652EAF" w:rsidRDefault="00652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</w:tr>
      <w:tr w:rsidR="00652EAF" w:rsidTr="00652EAF">
        <w:tc>
          <w:tcPr>
            <w:tcW w:w="828" w:type="dxa"/>
          </w:tcPr>
          <w:p w:rsidR="00652EAF" w:rsidRDefault="00652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6" w:type="dxa"/>
          </w:tcPr>
          <w:p w:rsidR="00652EAF" w:rsidRDefault="00652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production value</w:t>
            </w:r>
          </w:p>
        </w:tc>
        <w:tc>
          <w:tcPr>
            <w:tcW w:w="3192" w:type="dxa"/>
          </w:tcPr>
          <w:p w:rsidR="00652EAF" w:rsidRDefault="00652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23,130</w:t>
            </w:r>
          </w:p>
        </w:tc>
      </w:tr>
      <w:tr w:rsidR="00652EAF" w:rsidTr="00652EAF">
        <w:tc>
          <w:tcPr>
            <w:tcW w:w="828" w:type="dxa"/>
          </w:tcPr>
          <w:p w:rsidR="00652EAF" w:rsidRDefault="00652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56" w:type="dxa"/>
          </w:tcPr>
          <w:p w:rsidR="00652EAF" w:rsidRDefault="00652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 (with VAT)</w:t>
            </w:r>
          </w:p>
        </w:tc>
        <w:tc>
          <w:tcPr>
            <w:tcW w:w="3192" w:type="dxa"/>
          </w:tcPr>
          <w:p w:rsidR="00652EAF" w:rsidRDefault="00652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20,511</w:t>
            </w:r>
          </w:p>
        </w:tc>
      </w:tr>
      <w:tr w:rsidR="00652EAF" w:rsidTr="00652EAF">
        <w:tc>
          <w:tcPr>
            <w:tcW w:w="828" w:type="dxa"/>
          </w:tcPr>
          <w:p w:rsidR="00652EAF" w:rsidRDefault="00652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56" w:type="dxa"/>
          </w:tcPr>
          <w:p w:rsidR="00652EAF" w:rsidRDefault="00652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Contributing to the State's budget </w:t>
            </w:r>
          </w:p>
        </w:tc>
        <w:tc>
          <w:tcPr>
            <w:tcW w:w="3192" w:type="dxa"/>
          </w:tcPr>
          <w:p w:rsidR="00652EAF" w:rsidRDefault="00652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859.6</w:t>
            </w:r>
          </w:p>
        </w:tc>
      </w:tr>
      <w:tr w:rsidR="00652EAF" w:rsidTr="00652EAF">
        <w:tc>
          <w:tcPr>
            <w:tcW w:w="828" w:type="dxa"/>
          </w:tcPr>
          <w:p w:rsidR="00652EAF" w:rsidRDefault="00652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56" w:type="dxa"/>
          </w:tcPr>
          <w:p w:rsidR="00652EAF" w:rsidRDefault="00652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3192" w:type="dxa"/>
          </w:tcPr>
          <w:p w:rsidR="00652EAF" w:rsidRDefault="00652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-1,245</w:t>
            </w:r>
          </w:p>
        </w:tc>
      </w:tr>
    </w:tbl>
    <w:p w:rsidR="00652EAF" w:rsidRDefault="00652EA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2EAF" w:rsidRDefault="00652EA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Operation plan for 2020</w:t>
      </w:r>
    </w:p>
    <w:p w:rsidR="00652EAF" w:rsidRDefault="00652EA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million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556"/>
        <w:gridCol w:w="3192"/>
      </w:tblGrid>
      <w:tr w:rsidR="00652EAF" w:rsidTr="000C0BD3">
        <w:tc>
          <w:tcPr>
            <w:tcW w:w="828" w:type="dxa"/>
          </w:tcPr>
          <w:p w:rsidR="00652EAF" w:rsidRDefault="00652EAF" w:rsidP="000C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56" w:type="dxa"/>
          </w:tcPr>
          <w:p w:rsidR="00652EAF" w:rsidRDefault="00652EAF" w:rsidP="000C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indicators</w:t>
            </w:r>
          </w:p>
        </w:tc>
        <w:tc>
          <w:tcPr>
            <w:tcW w:w="3192" w:type="dxa"/>
          </w:tcPr>
          <w:p w:rsidR="00652EAF" w:rsidRDefault="00652EAF" w:rsidP="000C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</w:tr>
      <w:tr w:rsidR="00652EAF" w:rsidTr="000C0BD3">
        <w:tc>
          <w:tcPr>
            <w:tcW w:w="828" w:type="dxa"/>
          </w:tcPr>
          <w:p w:rsidR="00652EAF" w:rsidRDefault="00652EAF" w:rsidP="000C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6" w:type="dxa"/>
          </w:tcPr>
          <w:p w:rsidR="00652EAF" w:rsidRDefault="00652EAF" w:rsidP="000C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production value</w:t>
            </w:r>
          </w:p>
        </w:tc>
        <w:tc>
          <w:tcPr>
            <w:tcW w:w="3192" w:type="dxa"/>
          </w:tcPr>
          <w:p w:rsidR="00652EAF" w:rsidRDefault="00652EAF" w:rsidP="000C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2,400</w:t>
            </w:r>
          </w:p>
        </w:tc>
      </w:tr>
      <w:tr w:rsidR="00652EAF" w:rsidTr="000C0BD3">
        <w:tc>
          <w:tcPr>
            <w:tcW w:w="828" w:type="dxa"/>
          </w:tcPr>
          <w:p w:rsidR="00652EAF" w:rsidRDefault="00652EAF" w:rsidP="000C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56" w:type="dxa"/>
          </w:tcPr>
          <w:p w:rsidR="00652EAF" w:rsidRDefault="00652EAF" w:rsidP="000C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 (with VAT)</w:t>
            </w:r>
          </w:p>
        </w:tc>
        <w:tc>
          <w:tcPr>
            <w:tcW w:w="3192" w:type="dxa"/>
          </w:tcPr>
          <w:p w:rsidR="00652EAF" w:rsidRDefault="00652EAF" w:rsidP="000C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65,000</w:t>
            </w:r>
          </w:p>
        </w:tc>
      </w:tr>
      <w:tr w:rsidR="00652EAF" w:rsidTr="000C0BD3">
        <w:tc>
          <w:tcPr>
            <w:tcW w:w="828" w:type="dxa"/>
          </w:tcPr>
          <w:p w:rsidR="00652EAF" w:rsidRDefault="00652EAF" w:rsidP="000C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56" w:type="dxa"/>
          </w:tcPr>
          <w:p w:rsidR="00652EAF" w:rsidRDefault="00652EAF" w:rsidP="000C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Contributing to the State's budget </w:t>
            </w:r>
          </w:p>
        </w:tc>
        <w:tc>
          <w:tcPr>
            <w:tcW w:w="3192" w:type="dxa"/>
          </w:tcPr>
          <w:p w:rsidR="00652EAF" w:rsidRDefault="00652EAF" w:rsidP="000C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</w:tr>
      <w:tr w:rsidR="00652EAF" w:rsidTr="000C0BD3">
        <w:tc>
          <w:tcPr>
            <w:tcW w:w="828" w:type="dxa"/>
          </w:tcPr>
          <w:p w:rsidR="00652EAF" w:rsidRDefault="00652EAF" w:rsidP="000C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56" w:type="dxa"/>
          </w:tcPr>
          <w:p w:rsidR="00652EAF" w:rsidRDefault="00652EAF" w:rsidP="000C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3192" w:type="dxa"/>
          </w:tcPr>
          <w:p w:rsidR="00652EAF" w:rsidRDefault="00652EAF" w:rsidP="000C0B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15,000</w:t>
            </w:r>
          </w:p>
        </w:tc>
      </w:tr>
    </w:tbl>
    <w:p w:rsidR="00652EAF" w:rsidRDefault="00652EA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142F" w:rsidRDefault="00A7142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142F">
        <w:rPr>
          <w:rFonts w:ascii="Arial" w:hAnsi="Arial" w:cs="Arial"/>
          <w:sz w:val="20"/>
          <w:szCs w:val="20"/>
        </w:rPr>
        <w:t xml:space="preserve">Article 2: Approve the </w:t>
      </w:r>
      <w:r>
        <w:rPr>
          <w:rFonts w:ascii="Arial" w:hAnsi="Arial" w:cs="Arial"/>
          <w:sz w:val="20"/>
          <w:szCs w:val="20"/>
        </w:rPr>
        <w:t>financial statement of</w:t>
      </w:r>
      <w:r w:rsidRPr="00A7142F">
        <w:rPr>
          <w:rFonts w:ascii="Arial" w:hAnsi="Arial" w:cs="Arial"/>
          <w:sz w:val="20"/>
          <w:szCs w:val="20"/>
        </w:rPr>
        <w:t xml:space="preserve"> 2019 of Hanoi Construction Investment Joint stock Company</w:t>
      </w:r>
    </w:p>
    <w:p w:rsidR="00D96073" w:rsidRDefault="00A7142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142F">
        <w:rPr>
          <w:rFonts w:ascii="Arial" w:hAnsi="Arial" w:cs="Arial"/>
          <w:sz w:val="20"/>
          <w:szCs w:val="20"/>
        </w:rPr>
        <w:t>Article 3</w:t>
      </w:r>
      <w:r>
        <w:rPr>
          <w:rFonts w:ascii="Arial" w:hAnsi="Arial" w:cs="Arial"/>
          <w:sz w:val="20"/>
          <w:szCs w:val="20"/>
        </w:rPr>
        <w:t>:</w:t>
      </w:r>
      <w:r w:rsidRPr="00A7142F">
        <w:rPr>
          <w:rFonts w:ascii="Arial" w:hAnsi="Arial" w:cs="Arial"/>
          <w:sz w:val="20"/>
          <w:szCs w:val="20"/>
        </w:rPr>
        <w:t xml:space="preserve"> Approve the Report of the Board of Directors of the Company on management and operating results in 2019</w:t>
      </w:r>
      <w:r w:rsidR="00D96073">
        <w:rPr>
          <w:rFonts w:ascii="Arial" w:hAnsi="Arial" w:cs="Arial"/>
          <w:sz w:val="20"/>
          <w:szCs w:val="20"/>
        </w:rPr>
        <w:t>, operation orientation in 2020</w:t>
      </w:r>
    </w:p>
    <w:p w:rsidR="00D96073" w:rsidRDefault="00A7142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142F">
        <w:rPr>
          <w:rFonts w:ascii="Arial" w:hAnsi="Arial" w:cs="Arial"/>
          <w:sz w:val="20"/>
          <w:szCs w:val="20"/>
        </w:rPr>
        <w:t>Article 4: Approve the Repor</w:t>
      </w:r>
      <w:r w:rsidR="00D96073">
        <w:rPr>
          <w:rFonts w:ascii="Arial" w:hAnsi="Arial" w:cs="Arial"/>
          <w:sz w:val="20"/>
          <w:szCs w:val="20"/>
        </w:rPr>
        <w:t xml:space="preserve">t of the Board of Supervisors on the management and </w:t>
      </w:r>
      <w:r w:rsidRPr="00A7142F">
        <w:rPr>
          <w:rFonts w:ascii="Arial" w:hAnsi="Arial" w:cs="Arial"/>
          <w:sz w:val="20"/>
          <w:szCs w:val="20"/>
        </w:rPr>
        <w:t xml:space="preserve">administration activities of the Board of Directors, the </w:t>
      </w:r>
      <w:r w:rsidR="00D96073">
        <w:rPr>
          <w:rFonts w:ascii="Arial" w:hAnsi="Arial" w:cs="Arial"/>
          <w:sz w:val="20"/>
          <w:szCs w:val="20"/>
        </w:rPr>
        <w:t>Management Board</w:t>
      </w:r>
      <w:r w:rsidRPr="00A7142F">
        <w:rPr>
          <w:rFonts w:ascii="Arial" w:hAnsi="Arial" w:cs="Arial"/>
          <w:sz w:val="20"/>
          <w:szCs w:val="20"/>
        </w:rPr>
        <w:t xml:space="preserve"> and the operation results of the </w:t>
      </w:r>
      <w:r w:rsidR="00D96073">
        <w:rPr>
          <w:rFonts w:ascii="Arial" w:hAnsi="Arial" w:cs="Arial"/>
          <w:sz w:val="20"/>
          <w:szCs w:val="20"/>
        </w:rPr>
        <w:t>Supervisory Board in 2019</w:t>
      </w:r>
    </w:p>
    <w:p w:rsidR="001A373F" w:rsidRDefault="00D9607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 Approve the r</w:t>
      </w:r>
      <w:r w:rsidR="00A7142F" w:rsidRPr="00A7142F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>uneration payment r</w:t>
      </w:r>
      <w:r w:rsidR="00A7142F" w:rsidRPr="00A7142F">
        <w:rPr>
          <w:rFonts w:ascii="Arial" w:hAnsi="Arial" w:cs="Arial"/>
          <w:sz w:val="20"/>
          <w:szCs w:val="20"/>
        </w:rPr>
        <w:t xml:space="preserve">eport to the Board of Directors and the </w:t>
      </w:r>
      <w:r w:rsidR="001A373F">
        <w:rPr>
          <w:rFonts w:ascii="Arial" w:hAnsi="Arial" w:cs="Arial"/>
          <w:sz w:val="20"/>
          <w:szCs w:val="20"/>
        </w:rPr>
        <w:t>Supervisory Board in 2019 with</w:t>
      </w:r>
      <w:r w:rsidR="00A7142F" w:rsidRPr="00A7142F">
        <w:rPr>
          <w:rFonts w:ascii="Arial" w:hAnsi="Arial" w:cs="Arial"/>
          <w:sz w:val="20"/>
          <w:szCs w:val="20"/>
        </w:rPr>
        <w:t xml:space="preserve"> total </w:t>
      </w:r>
      <w:r w:rsidR="001A373F">
        <w:rPr>
          <w:rFonts w:ascii="Arial" w:hAnsi="Arial" w:cs="Arial"/>
          <w:sz w:val="20"/>
          <w:szCs w:val="20"/>
        </w:rPr>
        <w:t>of VND 217,500,000</w:t>
      </w:r>
    </w:p>
    <w:p w:rsidR="001A373F" w:rsidRDefault="00A7142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142F">
        <w:rPr>
          <w:rFonts w:ascii="Arial" w:hAnsi="Arial" w:cs="Arial"/>
          <w:sz w:val="20"/>
          <w:szCs w:val="20"/>
        </w:rPr>
        <w:t xml:space="preserve">Article 6: Approving the remuneration for the Board of Directors and the Supervisory Board in 2020: </w:t>
      </w:r>
    </w:p>
    <w:p w:rsidR="001A373F" w:rsidRDefault="001A373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7142F" w:rsidRPr="00A7142F">
        <w:rPr>
          <w:rFonts w:ascii="Arial" w:hAnsi="Arial" w:cs="Arial"/>
          <w:sz w:val="20"/>
          <w:szCs w:val="20"/>
        </w:rPr>
        <w:t xml:space="preserve">Chairman of the </w:t>
      </w:r>
      <w:r>
        <w:rPr>
          <w:rFonts w:ascii="Arial" w:hAnsi="Arial" w:cs="Arial"/>
          <w:sz w:val="20"/>
          <w:szCs w:val="20"/>
        </w:rPr>
        <w:t>Board of Directors</w:t>
      </w:r>
      <w:r w:rsidR="00A7142F" w:rsidRPr="00A7142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</w:t>
      </w:r>
      <w:r w:rsidR="00A7142F" w:rsidRPr="00A7142F">
        <w:rPr>
          <w:rFonts w:ascii="Arial" w:hAnsi="Arial" w:cs="Arial"/>
          <w:sz w:val="20"/>
          <w:szCs w:val="20"/>
        </w:rPr>
        <w:t>2,</w:t>
      </w:r>
      <w:r>
        <w:rPr>
          <w:rFonts w:ascii="Arial" w:hAnsi="Arial" w:cs="Arial"/>
          <w:sz w:val="20"/>
          <w:szCs w:val="20"/>
        </w:rPr>
        <w:t>500,000/</w:t>
      </w:r>
      <w:r w:rsidR="00A7142F" w:rsidRPr="00A7142F">
        <w:rPr>
          <w:rFonts w:ascii="Arial" w:hAnsi="Arial" w:cs="Arial"/>
          <w:sz w:val="20"/>
          <w:szCs w:val="20"/>
        </w:rPr>
        <w:t xml:space="preserve">month </w:t>
      </w:r>
    </w:p>
    <w:p w:rsidR="001A373F" w:rsidRDefault="001A373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A7142F" w:rsidRPr="00A7142F">
        <w:rPr>
          <w:rFonts w:ascii="Arial" w:hAnsi="Arial" w:cs="Arial"/>
          <w:sz w:val="20"/>
          <w:szCs w:val="20"/>
        </w:rPr>
        <w:t xml:space="preserve">Member of the Board of Directors: </w:t>
      </w:r>
      <w:r>
        <w:rPr>
          <w:rFonts w:ascii="Arial" w:hAnsi="Arial" w:cs="Arial"/>
          <w:sz w:val="20"/>
          <w:szCs w:val="20"/>
        </w:rPr>
        <w:t>VND 2,000,000/person/</w:t>
      </w:r>
      <w:r w:rsidR="00A7142F" w:rsidRPr="00A7142F">
        <w:rPr>
          <w:rFonts w:ascii="Arial" w:hAnsi="Arial" w:cs="Arial"/>
          <w:sz w:val="20"/>
          <w:szCs w:val="20"/>
        </w:rPr>
        <w:t xml:space="preserve">month </w:t>
      </w:r>
    </w:p>
    <w:p w:rsidR="001A373F" w:rsidRDefault="001A373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7142F" w:rsidRPr="00A7142F">
        <w:rPr>
          <w:rFonts w:ascii="Arial" w:hAnsi="Arial" w:cs="Arial"/>
          <w:sz w:val="20"/>
          <w:szCs w:val="20"/>
        </w:rPr>
        <w:t xml:space="preserve">Head of the Supervisory Board: </w:t>
      </w:r>
      <w:r>
        <w:rPr>
          <w:rFonts w:ascii="Arial" w:hAnsi="Arial" w:cs="Arial"/>
          <w:sz w:val="20"/>
          <w:szCs w:val="20"/>
        </w:rPr>
        <w:t>VND 2,000,000/</w:t>
      </w:r>
      <w:r w:rsidR="00A7142F" w:rsidRPr="00A7142F">
        <w:rPr>
          <w:rFonts w:ascii="Arial" w:hAnsi="Arial" w:cs="Arial"/>
          <w:sz w:val="20"/>
          <w:szCs w:val="20"/>
        </w:rPr>
        <w:t xml:space="preserve">month </w:t>
      </w:r>
    </w:p>
    <w:p w:rsidR="001A373F" w:rsidRDefault="001A373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7142F" w:rsidRPr="00A7142F">
        <w:rPr>
          <w:rFonts w:ascii="Arial" w:hAnsi="Arial" w:cs="Arial"/>
          <w:sz w:val="20"/>
          <w:szCs w:val="20"/>
        </w:rPr>
        <w:t xml:space="preserve">Member of Supervisory Board: </w:t>
      </w:r>
      <w:r>
        <w:rPr>
          <w:rFonts w:ascii="Arial" w:hAnsi="Arial" w:cs="Arial"/>
          <w:sz w:val="20"/>
          <w:szCs w:val="20"/>
        </w:rPr>
        <w:t xml:space="preserve">VND </w:t>
      </w:r>
      <w:r w:rsidR="00A7142F" w:rsidRPr="00A7142F">
        <w:rPr>
          <w:rFonts w:ascii="Arial" w:hAnsi="Arial" w:cs="Arial"/>
          <w:sz w:val="20"/>
          <w:szCs w:val="20"/>
        </w:rPr>
        <w:t>1,000,000</w:t>
      </w:r>
      <w:r>
        <w:rPr>
          <w:rFonts w:ascii="Arial" w:hAnsi="Arial" w:cs="Arial"/>
          <w:sz w:val="20"/>
          <w:szCs w:val="20"/>
        </w:rPr>
        <w:t>/person/</w:t>
      </w:r>
      <w:r w:rsidR="00A7142F" w:rsidRPr="00A7142F">
        <w:rPr>
          <w:rFonts w:ascii="Arial" w:hAnsi="Arial" w:cs="Arial"/>
          <w:sz w:val="20"/>
          <w:szCs w:val="20"/>
        </w:rPr>
        <w:t xml:space="preserve">month </w:t>
      </w:r>
    </w:p>
    <w:p w:rsidR="00652EAF" w:rsidRDefault="001A373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7: Choose 1 of 2 c</w:t>
      </w:r>
      <w:r w:rsidR="00A7142F" w:rsidRPr="00A7142F">
        <w:rPr>
          <w:rFonts w:ascii="Arial" w:hAnsi="Arial" w:cs="Arial"/>
          <w:sz w:val="20"/>
          <w:szCs w:val="20"/>
        </w:rPr>
        <w:t xml:space="preserve">ompanies: Thang Long Auditing and Valuation Co., Ltd </w:t>
      </w:r>
      <w:r w:rsidR="00A640E0">
        <w:rPr>
          <w:rFonts w:ascii="Arial" w:hAnsi="Arial" w:cs="Arial"/>
          <w:sz w:val="20"/>
          <w:szCs w:val="20"/>
        </w:rPr>
        <w:t xml:space="preserve">– T.D.K </w:t>
      </w:r>
      <w:r w:rsidR="00A7142F" w:rsidRPr="00A7142F">
        <w:rPr>
          <w:rFonts w:ascii="Arial" w:hAnsi="Arial" w:cs="Arial"/>
          <w:sz w:val="20"/>
          <w:szCs w:val="20"/>
        </w:rPr>
        <w:t>or CPA V</w:t>
      </w:r>
      <w:r w:rsidR="00A640E0">
        <w:rPr>
          <w:rFonts w:ascii="Arial" w:hAnsi="Arial" w:cs="Arial"/>
          <w:sz w:val="20"/>
          <w:szCs w:val="20"/>
        </w:rPr>
        <w:t>ietnam Auditing Company Limited</w:t>
      </w:r>
    </w:p>
    <w:p w:rsidR="00075CA7" w:rsidRDefault="00A640E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0E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  <w:r w:rsidRPr="00A640E0">
        <w:rPr>
          <w:rFonts w:ascii="Arial" w:hAnsi="Arial" w:cs="Arial"/>
          <w:sz w:val="20"/>
          <w:szCs w:val="20"/>
        </w:rPr>
        <w:t>agreed to authorize the Chairman of the Board of Directors to select and sign a contract to serve the auditing of the Company's finan</w:t>
      </w:r>
      <w:r w:rsidR="00075CA7">
        <w:rPr>
          <w:rFonts w:ascii="Arial" w:hAnsi="Arial" w:cs="Arial"/>
          <w:sz w:val="20"/>
          <w:szCs w:val="20"/>
        </w:rPr>
        <w:t>cial statement of</w:t>
      </w:r>
      <w:r w:rsidRPr="00A640E0">
        <w:rPr>
          <w:rFonts w:ascii="Arial" w:hAnsi="Arial" w:cs="Arial"/>
          <w:sz w:val="20"/>
          <w:szCs w:val="20"/>
        </w:rPr>
        <w:t xml:space="preserve"> 2020 (In special cases: </w:t>
      </w:r>
      <w:r w:rsidR="00075CA7" w:rsidRPr="00A640E0">
        <w:rPr>
          <w:rFonts w:ascii="Arial" w:hAnsi="Arial" w:cs="Arial"/>
          <w:sz w:val="20"/>
          <w:szCs w:val="20"/>
        </w:rPr>
        <w:t xml:space="preserve">Thang Long </w:t>
      </w:r>
      <w:r w:rsidRPr="00A640E0">
        <w:rPr>
          <w:rFonts w:ascii="Arial" w:hAnsi="Arial" w:cs="Arial"/>
          <w:sz w:val="20"/>
          <w:szCs w:val="20"/>
        </w:rPr>
        <w:t xml:space="preserve">Auditing </w:t>
      </w:r>
      <w:r w:rsidR="00075CA7">
        <w:rPr>
          <w:rFonts w:ascii="Arial" w:hAnsi="Arial" w:cs="Arial"/>
          <w:sz w:val="20"/>
          <w:szCs w:val="20"/>
        </w:rPr>
        <w:t>and V</w:t>
      </w:r>
      <w:r w:rsidR="00075CA7" w:rsidRPr="00A640E0">
        <w:rPr>
          <w:rFonts w:ascii="Arial" w:hAnsi="Arial" w:cs="Arial"/>
          <w:sz w:val="20"/>
          <w:szCs w:val="20"/>
        </w:rPr>
        <w:t xml:space="preserve">aluation </w:t>
      </w:r>
      <w:r w:rsidR="00075CA7">
        <w:rPr>
          <w:rFonts w:ascii="Arial" w:hAnsi="Arial" w:cs="Arial"/>
          <w:sz w:val="20"/>
          <w:szCs w:val="20"/>
        </w:rPr>
        <w:t>Co., Ltd</w:t>
      </w:r>
      <w:r w:rsidRPr="00A640E0">
        <w:rPr>
          <w:rFonts w:ascii="Arial" w:hAnsi="Arial" w:cs="Arial"/>
          <w:sz w:val="20"/>
          <w:szCs w:val="20"/>
        </w:rPr>
        <w:t xml:space="preserve"> </w:t>
      </w:r>
      <w:r w:rsidR="00075CA7">
        <w:rPr>
          <w:rFonts w:ascii="Arial" w:hAnsi="Arial" w:cs="Arial"/>
          <w:sz w:val="20"/>
          <w:szCs w:val="20"/>
        </w:rPr>
        <w:t>–</w:t>
      </w:r>
      <w:r w:rsidRPr="00A640E0">
        <w:rPr>
          <w:rFonts w:ascii="Arial" w:hAnsi="Arial" w:cs="Arial"/>
          <w:sz w:val="20"/>
          <w:szCs w:val="20"/>
        </w:rPr>
        <w:t xml:space="preserve"> T</w:t>
      </w:r>
      <w:r w:rsidR="00075CA7">
        <w:rPr>
          <w:rFonts w:ascii="Arial" w:hAnsi="Arial" w:cs="Arial"/>
          <w:sz w:val="20"/>
          <w:szCs w:val="20"/>
        </w:rPr>
        <w:t>.</w:t>
      </w:r>
      <w:r w:rsidRPr="00A640E0">
        <w:rPr>
          <w:rFonts w:ascii="Arial" w:hAnsi="Arial" w:cs="Arial"/>
          <w:sz w:val="20"/>
          <w:szCs w:val="20"/>
        </w:rPr>
        <w:t>D</w:t>
      </w:r>
      <w:r w:rsidR="00075CA7">
        <w:rPr>
          <w:rFonts w:ascii="Arial" w:hAnsi="Arial" w:cs="Arial"/>
          <w:sz w:val="20"/>
          <w:szCs w:val="20"/>
        </w:rPr>
        <w:t>.</w:t>
      </w:r>
      <w:r w:rsidRPr="00A640E0">
        <w:rPr>
          <w:rFonts w:ascii="Arial" w:hAnsi="Arial" w:cs="Arial"/>
          <w:sz w:val="20"/>
          <w:szCs w:val="20"/>
        </w:rPr>
        <w:t xml:space="preserve">K or CPA Vietnam </w:t>
      </w:r>
      <w:r w:rsidR="00075CA7">
        <w:rPr>
          <w:rFonts w:ascii="Arial" w:hAnsi="Arial" w:cs="Arial"/>
          <w:sz w:val="20"/>
          <w:szCs w:val="20"/>
        </w:rPr>
        <w:t xml:space="preserve">Auditing </w:t>
      </w:r>
      <w:r w:rsidRPr="00A640E0">
        <w:rPr>
          <w:rFonts w:ascii="Arial" w:hAnsi="Arial" w:cs="Arial"/>
          <w:sz w:val="20"/>
          <w:szCs w:val="20"/>
        </w:rPr>
        <w:t>Co., Ltd does not meet the criteria set out, the Board of Directors of the Company has the right to select and sign a contract with another qualifi</w:t>
      </w:r>
      <w:r w:rsidR="00075CA7">
        <w:rPr>
          <w:rFonts w:ascii="Arial" w:hAnsi="Arial" w:cs="Arial"/>
          <w:sz w:val="20"/>
          <w:szCs w:val="20"/>
        </w:rPr>
        <w:t xml:space="preserve">ed auditing unit </w:t>
      </w:r>
      <w:r w:rsidRPr="00A640E0">
        <w:rPr>
          <w:rFonts w:ascii="Arial" w:hAnsi="Arial" w:cs="Arial"/>
          <w:sz w:val="20"/>
          <w:szCs w:val="20"/>
        </w:rPr>
        <w:t>to perform the audit of th</w:t>
      </w:r>
      <w:r w:rsidR="00075CA7">
        <w:rPr>
          <w:rFonts w:ascii="Arial" w:hAnsi="Arial" w:cs="Arial"/>
          <w:sz w:val="20"/>
          <w:szCs w:val="20"/>
        </w:rPr>
        <w:t xml:space="preserve">e Company's financial statement of </w:t>
      </w:r>
      <w:r w:rsidRPr="00A640E0">
        <w:rPr>
          <w:rFonts w:ascii="Arial" w:hAnsi="Arial" w:cs="Arial"/>
          <w:sz w:val="20"/>
          <w:szCs w:val="20"/>
        </w:rPr>
        <w:t xml:space="preserve"> 2020</w:t>
      </w:r>
    </w:p>
    <w:p w:rsidR="00A33FED" w:rsidRDefault="00A640E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0E0">
        <w:rPr>
          <w:rFonts w:ascii="Arial" w:hAnsi="Arial" w:cs="Arial"/>
          <w:sz w:val="20"/>
          <w:szCs w:val="20"/>
        </w:rPr>
        <w:t xml:space="preserve">Article 8: </w:t>
      </w:r>
    </w:p>
    <w:p w:rsidR="00A33FED" w:rsidRDefault="00A33F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</w:t>
      </w:r>
      <w:r w:rsidR="00A640E0" w:rsidRPr="00A640E0">
        <w:rPr>
          <w:rFonts w:ascii="Arial" w:hAnsi="Arial" w:cs="Arial"/>
          <w:sz w:val="20"/>
          <w:szCs w:val="20"/>
        </w:rPr>
        <w:t xml:space="preserve"> Approve some contents in the Draft of amending and s</w:t>
      </w:r>
      <w:r>
        <w:rPr>
          <w:rFonts w:ascii="Arial" w:hAnsi="Arial" w:cs="Arial"/>
          <w:sz w:val="20"/>
          <w:szCs w:val="20"/>
        </w:rPr>
        <w:t>upplementing the Regulation on organization and o</w:t>
      </w:r>
      <w:r w:rsidR="00A640E0" w:rsidRPr="00A640E0">
        <w:rPr>
          <w:rFonts w:ascii="Arial" w:hAnsi="Arial" w:cs="Arial"/>
          <w:sz w:val="20"/>
          <w:szCs w:val="20"/>
        </w:rPr>
        <w:t xml:space="preserve">peration of </w:t>
      </w:r>
      <w:r w:rsidRPr="00A33FED">
        <w:rPr>
          <w:rFonts w:ascii="Arial" w:hAnsi="Arial" w:cs="Arial"/>
          <w:sz w:val="20"/>
          <w:szCs w:val="20"/>
        </w:rPr>
        <w:t>Hanoi Construction Investment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="00A640E0" w:rsidRPr="00A640E0">
        <w:rPr>
          <w:rFonts w:ascii="Arial" w:hAnsi="Arial" w:cs="Arial"/>
          <w:sz w:val="20"/>
          <w:szCs w:val="20"/>
        </w:rPr>
        <w:t xml:space="preserve">presented by the Company's Board of Directors before the </w:t>
      </w:r>
      <w:r>
        <w:rPr>
          <w:rFonts w:ascii="Arial" w:hAnsi="Arial" w:cs="Arial"/>
          <w:sz w:val="20"/>
          <w:szCs w:val="20"/>
        </w:rPr>
        <w:t xml:space="preserve">annual General Meeting of Shareholders; </w:t>
      </w:r>
      <w:r w:rsidR="00A640E0" w:rsidRPr="00A640E0">
        <w:rPr>
          <w:rFonts w:ascii="Arial" w:hAnsi="Arial" w:cs="Arial"/>
          <w:sz w:val="20"/>
          <w:szCs w:val="20"/>
        </w:rPr>
        <w:t xml:space="preserve">Specifically as follows: </w:t>
      </w:r>
    </w:p>
    <w:p w:rsidR="00D67DD8" w:rsidRDefault="00A640E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0E0">
        <w:rPr>
          <w:rFonts w:ascii="Arial" w:hAnsi="Arial" w:cs="Arial"/>
          <w:sz w:val="20"/>
          <w:szCs w:val="20"/>
        </w:rPr>
        <w:t xml:space="preserve">1. Business </w:t>
      </w:r>
      <w:r w:rsidR="00D67DD8">
        <w:rPr>
          <w:rFonts w:ascii="Arial" w:hAnsi="Arial" w:cs="Arial"/>
          <w:sz w:val="20"/>
          <w:szCs w:val="20"/>
        </w:rPr>
        <w:t>lines</w:t>
      </w:r>
    </w:p>
    <w:p w:rsidR="00A640E0" w:rsidRDefault="00D67D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Founding shareholders</w:t>
      </w:r>
    </w:p>
    <w:p w:rsidR="00AB5571" w:rsidRDefault="00D67D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AB5571">
        <w:rPr>
          <w:rFonts w:ascii="Arial" w:hAnsi="Arial" w:cs="Arial"/>
          <w:sz w:val="20"/>
          <w:szCs w:val="20"/>
        </w:rPr>
        <w:t>Transfer of shares</w:t>
      </w:r>
    </w:p>
    <w:p w:rsidR="00AB5571" w:rsidRDefault="00AB557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Anonymous shares</w:t>
      </w:r>
    </w:p>
    <w:p w:rsidR="00AB5571" w:rsidRDefault="00D67D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7DD8">
        <w:rPr>
          <w:rFonts w:ascii="Arial" w:hAnsi="Arial" w:cs="Arial"/>
          <w:sz w:val="20"/>
          <w:szCs w:val="20"/>
        </w:rPr>
        <w:t>5. Appro</w:t>
      </w:r>
      <w:r w:rsidR="00AB5571">
        <w:rPr>
          <w:rFonts w:ascii="Arial" w:hAnsi="Arial" w:cs="Arial"/>
          <w:sz w:val="20"/>
          <w:szCs w:val="20"/>
        </w:rPr>
        <w:t>ving the transaction contracts</w:t>
      </w:r>
    </w:p>
    <w:p w:rsidR="00AB5571" w:rsidRDefault="00D67D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7DD8">
        <w:rPr>
          <w:rFonts w:ascii="Arial" w:hAnsi="Arial" w:cs="Arial"/>
          <w:sz w:val="20"/>
          <w:szCs w:val="20"/>
        </w:rPr>
        <w:t>6. Criteria for mem</w:t>
      </w:r>
      <w:r w:rsidR="00AB5571">
        <w:rPr>
          <w:rFonts w:ascii="Arial" w:hAnsi="Arial" w:cs="Arial"/>
          <w:sz w:val="20"/>
          <w:szCs w:val="20"/>
        </w:rPr>
        <w:t>bers of the Board of Directors</w:t>
      </w:r>
    </w:p>
    <w:p w:rsidR="00AB5571" w:rsidRDefault="00D67D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7DD8">
        <w:rPr>
          <w:rFonts w:ascii="Arial" w:hAnsi="Arial" w:cs="Arial"/>
          <w:sz w:val="20"/>
          <w:szCs w:val="20"/>
        </w:rPr>
        <w:t xml:space="preserve">7. </w:t>
      </w:r>
      <w:r w:rsidR="00AB5571">
        <w:rPr>
          <w:rFonts w:ascii="Arial" w:hAnsi="Arial" w:cs="Arial"/>
          <w:sz w:val="20"/>
          <w:szCs w:val="20"/>
        </w:rPr>
        <w:t>Criteria of the General Director</w:t>
      </w:r>
    </w:p>
    <w:p w:rsidR="00F5270D" w:rsidRDefault="00F5270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The seal of the Company</w:t>
      </w:r>
    </w:p>
    <w:p w:rsidR="00F5270D" w:rsidRDefault="00F5270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A</w:t>
      </w:r>
      <w:r w:rsidR="00D67DD8" w:rsidRPr="00D67DD8">
        <w:rPr>
          <w:rFonts w:ascii="Arial" w:hAnsi="Arial" w:cs="Arial"/>
          <w:sz w:val="20"/>
          <w:szCs w:val="20"/>
        </w:rPr>
        <w:t xml:space="preserve">dding terms in the </w:t>
      </w:r>
      <w:r>
        <w:rPr>
          <w:rFonts w:ascii="Arial" w:hAnsi="Arial" w:cs="Arial"/>
          <w:sz w:val="20"/>
          <w:szCs w:val="20"/>
        </w:rPr>
        <w:t xml:space="preserve">legal representative </w:t>
      </w:r>
    </w:p>
    <w:p w:rsidR="00855013" w:rsidRDefault="00D67D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7DD8">
        <w:rPr>
          <w:rFonts w:ascii="Arial" w:hAnsi="Arial" w:cs="Arial"/>
          <w:sz w:val="20"/>
          <w:szCs w:val="20"/>
        </w:rPr>
        <w:t>And other conte</w:t>
      </w:r>
      <w:r w:rsidR="00F5270D">
        <w:rPr>
          <w:rFonts w:ascii="Arial" w:hAnsi="Arial" w:cs="Arial"/>
          <w:sz w:val="20"/>
          <w:szCs w:val="20"/>
        </w:rPr>
        <w:t>nts according to the report No.150/</w:t>
      </w:r>
      <w:proofErr w:type="spellStart"/>
      <w:r w:rsidRPr="00D67DD8">
        <w:rPr>
          <w:rFonts w:ascii="Arial" w:hAnsi="Arial" w:cs="Arial"/>
          <w:sz w:val="20"/>
          <w:szCs w:val="20"/>
        </w:rPr>
        <w:t>Tr</w:t>
      </w:r>
      <w:proofErr w:type="spellEnd"/>
      <w:r w:rsidR="00F5270D">
        <w:rPr>
          <w:rFonts w:ascii="Arial" w:hAnsi="Arial" w:cs="Arial"/>
          <w:sz w:val="20"/>
          <w:szCs w:val="20"/>
        </w:rPr>
        <w:t>-</w:t>
      </w:r>
      <w:r w:rsidRPr="00D67DD8">
        <w:rPr>
          <w:rFonts w:ascii="Arial" w:hAnsi="Arial" w:cs="Arial"/>
          <w:sz w:val="20"/>
          <w:szCs w:val="20"/>
        </w:rPr>
        <w:t xml:space="preserve">CT dated </w:t>
      </w:r>
      <w:r w:rsidR="00F5270D">
        <w:rPr>
          <w:rFonts w:ascii="Arial" w:hAnsi="Arial" w:cs="Arial"/>
          <w:sz w:val="20"/>
          <w:szCs w:val="20"/>
        </w:rPr>
        <w:t>09 Jun 2020 about the amendment to</w:t>
      </w:r>
      <w:r w:rsidRPr="00D67DD8">
        <w:rPr>
          <w:rFonts w:ascii="Arial" w:hAnsi="Arial" w:cs="Arial"/>
          <w:sz w:val="20"/>
          <w:szCs w:val="20"/>
        </w:rPr>
        <w:t xml:space="preserve"> the Charter </w:t>
      </w:r>
      <w:r w:rsidR="00855013">
        <w:rPr>
          <w:rFonts w:ascii="Arial" w:hAnsi="Arial" w:cs="Arial"/>
          <w:sz w:val="20"/>
          <w:szCs w:val="20"/>
        </w:rPr>
        <w:t>sent to shareholders</w:t>
      </w:r>
    </w:p>
    <w:p w:rsidR="00855013" w:rsidRDefault="0085501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</w:t>
      </w:r>
      <w:r w:rsidR="00D67DD8" w:rsidRPr="00D67DD8">
        <w:rPr>
          <w:rFonts w:ascii="Arial" w:hAnsi="Arial" w:cs="Arial"/>
          <w:sz w:val="20"/>
          <w:szCs w:val="20"/>
        </w:rPr>
        <w:t xml:space="preserve"> Not approving the following contents: </w:t>
      </w:r>
    </w:p>
    <w:p w:rsidR="00855013" w:rsidRDefault="00D67D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7DD8">
        <w:rPr>
          <w:rFonts w:ascii="Arial" w:hAnsi="Arial" w:cs="Arial"/>
          <w:sz w:val="20"/>
          <w:szCs w:val="20"/>
        </w:rPr>
        <w:t xml:space="preserve">1. Proportion of </w:t>
      </w:r>
      <w:r w:rsidR="00855013">
        <w:rPr>
          <w:rFonts w:ascii="Arial" w:hAnsi="Arial" w:cs="Arial"/>
          <w:sz w:val="20"/>
          <w:szCs w:val="20"/>
        </w:rPr>
        <w:t xml:space="preserve">attending the annual General Meeting of Shareholders </w:t>
      </w:r>
    </w:p>
    <w:p w:rsidR="00855013" w:rsidRDefault="00D67D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7DD8">
        <w:rPr>
          <w:rFonts w:ascii="Arial" w:hAnsi="Arial" w:cs="Arial"/>
          <w:sz w:val="20"/>
          <w:szCs w:val="20"/>
        </w:rPr>
        <w:lastRenderedPageBreak/>
        <w:t xml:space="preserve">2. </w:t>
      </w:r>
      <w:r w:rsidR="00855013">
        <w:rPr>
          <w:rFonts w:ascii="Arial" w:hAnsi="Arial" w:cs="Arial"/>
          <w:sz w:val="20"/>
          <w:szCs w:val="20"/>
        </w:rPr>
        <w:t>Form</w:t>
      </w:r>
      <w:r w:rsidRPr="00D67DD8">
        <w:rPr>
          <w:rFonts w:ascii="Arial" w:hAnsi="Arial" w:cs="Arial"/>
          <w:sz w:val="20"/>
          <w:szCs w:val="20"/>
        </w:rPr>
        <w:t xml:space="preserve"> for passing </w:t>
      </w:r>
      <w:r w:rsidR="00855013">
        <w:rPr>
          <w:rFonts w:ascii="Arial" w:hAnsi="Arial" w:cs="Arial"/>
          <w:sz w:val="20"/>
          <w:szCs w:val="20"/>
        </w:rPr>
        <w:t xml:space="preserve">the General Mandate </w:t>
      </w:r>
    </w:p>
    <w:p w:rsidR="00D67DD8" w:rsidRDefault="0085501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9:</w:t>
      </w:r>
      <w:r w:rsidR="00D67DD8" w:rsidRPr="00D67DD8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annual General Meeting of Shareholders dismissed </w:t>
      </w:r>
      <w:r w:rsidR="00D67DD8" w:rsidRPr="00D67DD8">
        <w:rPr>
          <w:rFonts w:ascii="Arial" w:hAnsi="Arial" w:cs="Arial"/>
          <w:sz w:val="20"/>
          <w:szCs w:val="20"/>
        </w:rPr>
        <w:t xml:space="preserve">02 members of the Board of Directors and 01 member of the Supervisory Board </w:t>
      </w:r>
    </w:p>
    <w:p w:rsidR="009E39EC" w:rsidRDefault="009E39E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39EC">
        <w:rPr>
          <w:rFonts w:ascii="Arial" w:hAnsi="Arial" w:cs="Arial"/>
          <w:sz w:val="20"/>
          <w:szCs w:val="20"/>
        </w:rPr>
        <w:t xml:space="preserve">1. Mr. Nguyen Viet Truong - Chairman of the Board of Directors </w:t>
      </w:r>
    </w:p>
    <w:p w:rsidR="009E39EC" w:rsidRDefault="009E39E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39EC">
        <w:rPr>
          <w:rFonts w:ascii="Arial" w:hAnsi="Arial" w:cs="Arial"/>
          <w:sz w:val="20"/>
          <w:szCs w:val="20"/>
        </w:rPr>
        <w:t xml:space="preserve">2. Ms. Nguyen Thuy Duong - Member of the Board of Directors </w:t>
      </w:r>
    </w:p>
    <w:p w:rsidR="009E39EC" w:rsidRDefault="008B17F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Mr. Nguyen </w:t>
      </w:r>
      <w:proofErr w:type="spellStart"/>
      <w:r w:rsidR="009E39EC" w:rsidRPr="009E39EC">
        <w:rPr>
          <w:rFonts w:ascii="Arial" w:hAnsi="Arial" w:cs="Arial"/>
          <w:sz w:val="20"/>
          <w:szCs w:val="20"/>
        </w:rPr>
        <w:t>Trung</w:t>
      </w:r>
      <w:proofErr w:type="spellEnd"/>
      <w:r w:rsidR="009E39EC" w:rsidRPr="009E39EC">
        <w:rPr>
          <w:rFonts w:ascii="Arial" w:hAnsi="Arial" w:cs="Arial"/>
          <w:sz w:val="20"/>
          <w:szCs w:val="20"/>
        </w:rPr>
        <w:t xml:space="preserve"> Thanh - Head of Supervisory Board </w:t>
      </w:r>
    </w:p>
    <w:p w:rsidR="00245386" w:rsidRDefault="009E39E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The annual General Meeting of Shareholders</w:t>
      </w:r>
      <w:r w:rsidRPr="009E39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appointed</w:t>
      </w:r>
      <w:r w:rsidRPr="009E39EC">
        <w:rPr>
          <w:rFonts w:ascii="Arial" w:hAnsi="Arial" w:cs="Arial"/>
          <w:sz w:val="20"/>
          <w:szCs w:val="20"/>
        </w:rPr>
        <w:t xml:space="preserve"> 02 members of the Board of Directors and 01 member of the </w:t>
      </w:r>
      <w:r w:rsidR="00245386">
        <w:rPr>
          <w:rFonts w:ascii="Arial" w:hAnsi="Arial" w:cs="Arial"/>
          <w:sz w:val="20"/>
          <w:szCs w:val="20"/>
        </w:rPr>
        <w:t>Supervisory Board</w:t>
      </w:r>
      <w:r w:rsidRPr="009E39EC">
        <w:rPr>
          <w:rFonts w:ascii="Arial" w:hAnsi="Arial" w:cs="Arial"/>
          <w:sz w:val="20"/>
          <w:szCs w:val="20"/>
        </w:rPr>
        <w:t xml:space="preserve"> for the term </w:t>
      </w:r>
      <w:r w:rsidR="00245386">
        <w:rPr>
          <w:rFonts w:ascii="Arial" w:hAnsi="Arial" w:cs="Arial"/>
          <w:sz w:val="20"/>
          <w:szCs w:val="20"/>
        </w:rPr>
        <w:t xml:space="preserve">of </w:t>
      </w:r>
      <w:r w:rsidRPr="009E39EC">
        <w:rPr>
          <w:rFonts w:ascii="Arial" w:hAnsi="Arial" w:cs="Arial"/>
          <w:sz w:val="20"/>
          <w:szCs w:val="20"/>
        </w:rPr>
        <w:t xml:space="preserve">2016 - 2021 </w:t>
      </w:r>
    </w:p>
    <w:p w:rsidR="00245386" w:rsidRDefault="009E39E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39EC">
        <w:rPr>
          <w:rFonts w:ascii="Arial" w:hAnsi="Arial" w:cs="Arial"/>
          <w:sz w:val="20"/>
          <w:szCs w:val="20"/>
        </w:rPr>
        <w:t xml:space="preserve">* Board of Directors: </w:t>
      </w:r>
    </w:p>
    <w:p w:rsidR="00245386" w:rsidRDefault="009E39E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39EC">
        <w:rPr>
          <w:rFonts w:ascii="Arial" w:hAnsi="Arial" w:cs="Arial"/>
          <w:sz w:val="20"/>
          <w:szCs w:val="20"/>
        </w:rPr>
        <w:t xml:space="preserve">1. Mr. Nguyen Van </w:t>
      </w:r>
      <w:proofErr w:type="spellStart"/>
      <w:r w:rsidRPr="009E39EC">
        <w:rPr>
          <w:rFonts w:ascii="Arial" w:hAnsi="Arial" w:cs="Arial"/>
          <w:sz w:val="20"/>
          <w:szCs w:val="20"/>
        </w:rPr>
        <w:t>Danh</w:t>
      </w:r>
      <w:proofErr w:type="spellEnd"/>
      <w:r w:rsidRPr="009E39EC">
        <w:rPr>
          <w:rFonts w:ascii="Arial" w:hAnsi="Arial" w:cs="Arial"/>
          <w:sz w:val="20"/>
          <w:szCs w:val="20"/>
        </w:rPr>
        <w:t xml:space="preserve"> </w:t>
      </w:r>
    </w:p>
    <w:p w:rsidR="00245386" w:rsidRDefault="009E39E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39EC">
        <w:rPr>
          <w:rFonts w:ascii="Arial" w:hAnsi="Arial" w:cs="Arial"/>
          <w:sz w:val="20"/>
          <w:szCs w:val="20"/>
        </w:rPr>
        <w:t>2</w:t>
      </w:r>
      <w:r w:rsidR="00245386">
        <w:rPr>
          <w:rFonts w:ascii="Arial" w:hAnsi="Arial" w:cs="Arial"/>
          <w:sz w:val="20"/>
          <w:szCs w:val="20"/>
        </w:rPr>
        <w:t>.</w:t>
      </w:r>
      <w:r w:rsidRPr="009E39EC">
        <w:rPr>
          <w:rFonts w:ascii="Arial" w:hAnsi="Arial" w:cs="Arial"/>
          <w:sz w:val="20"/>
          <w:szCs w:val="20"/>
        </w:rPr>
        <w:t xml:space="preserve"> Ms. Nguyen Thi Mai </w:t>
      </w:r>
    </w:p>
    <w:p w:rsidR="00245386" w:rsidRDefault="009E39E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39EC">
        <w:rPr>
          <w:rFonts w:ascii="Arial" w:hAnsi="Arial" w:cs="Arial"/>
          <w:sz w:val="20"/>
          <w:szCs w:val="20"/>
        </w:rPr>
        <w:t xml:space="preserve">* </w:t>
      </w:r>
      <w:r w:rsidR="00245386">
        <w:rPr>
          <w:rFonts w:ascii="Arial" w:hAnsi="Arial" w:cs="Arial"/>
          <w:sz w:val="20"/>
          <w:szCs w:val="20"/>
        </w:rPr>
        <w:t>Supervisory Board</w:t>
      </w:r>
      <w:r w:rsidRPr="009E39EC">
        <w:rPr>
          <w:rFonts w:ascii="Arial" w:hAnsi="Arial" w:cs="Arial"/>
          <w:sz w:val="20"/>
          <w:szCs w:val="20"/>
        </w:rPr>
        <w:t xml:space="preserve">: </w:t>
      </w:r>
    </w:p>
    <w:p w:rsidR="009E39EC" w:rsidRDefault="009E39E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39EC">
        <w:rPr>
          <w:rFonts w:ascii="Arial" w:hAnsi="Arial" w:cs="Arial"/>
          <w:sz w:val="20"/>
          <w:szCs w:val="20"/>
        </w:rPr>
        <w:t>1. Mr. Bui Nhu Thanh</w:t>
      </w:r>
    </w:p>
    <w:p w:rsidR="00245386" w:rsidRDefault="0024538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10: This annual General Mandate includes 04 pages, made into 03 copies at 12:30 on </w:t>
      </w:r>
      <w:r w:rsidR="008B17F1">
        <w:rPr>
          <w:rFonts w:ascii="Arial" w:hAnsi="Arial" w:cs="Arial"/>
          <w:sz w:val="20"/>
          <w:szCs w:val="20"/>
        </w:rPr>
        <w:t>30 Jun 2020</w:t>
      </w:r>
      <w:r w:rsidR="00F7148B">
        <w:rPr>
          <w:rFonts w:ascii="Arial" w:hAnsi="Arial" w:cs="Arial"/>
          <w:sz w:val="20"/>
          <w:szCs w:val="20"/>
        </w:rPr>
        <w:t>.</w:t>
      </w:r>
    </w:p>
    <w:sectPr w:rsidR="00245386" w:rsidSect="00AB53E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E043C"/>
    <w:multiLevelType w:val="hybridMultilevel"/>
    <w:tmpl w:val="9422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0DA1"/>
    <w:rsid w:val="00007B2E"/>
    <w:rsid w:val="000142E1"/>
    <w:rsid w:val="00022849"/>
    <w:rsid w:val="0002469B"/>
    <w:rsid w:val="000266C2"/>
    <w:rsid w:val="000362BD"/>
    <w:rsid w:val="000365C1"/>
    <w:rsid w:val="00050E3D"/>
    <w:rsid w:val="00051852"/>
    <w:rsid w:val="00054119"/>
    <w:rsid w:val="00054EB3"/>
    <w:rsid w:val="000603A9"/>
    <w:rsid w:val="00066EE1"/>
    <w:rsid w:val="00075754"/>
    <w:rsid w:val="00075CA7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030B"/>
    <w:rsid w:val="001110AA"/>
    <w:rsid w:val="001115E6"/>
    <w:rsid w:val="00114F74"/>
    <w:rsid w:val="00124D16"/>
    <w:rsid w:val="001321CF"/>
    <w:rsid w:val="00132C8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1E83"/>
    <w:rsid w:val="0016411D"/>
    <w:rsid w:val="00167E2F"/>
    <w:rsid w:val="00185E8C"/>
    <w:rsid w:val="00191F14"/>
    <w:rsid w:val="001937B4"/>
    <w:rsid w:val="00194B6D"/>
    <w:rsid w:val="001A373F"/>
    <w:rsid w:val="001A6CEF"/>
    <w:rsid w:val="001A781C"/>
    <w:rsid w:val="001C7CD2"/>
    <w:rsid w:val="001D3611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3D9F"/>
    <w:rsid w:val="002164D2"/>
    <w:rsid w:val="00230BF1"/>
    <w:rsid w:val="002319EE"/>
    <w:rsid w:val="00234825"/>
    <w:rsid w:val="00245386"/>
    <w:rsid w:val="0025148F"/>
    <w:rsid w:val="00252CE0"/>
    <w:rsid w:val="00254EA2"/>
    <w:rsid w:val="0026535B"/>
    <w:rsid w:val="002701FB"/>
    <w:rsid w:val="00270242"/>
    <w:rsid w:val="0028284F"/>
    <w:rsid w:val="0029161A"/>
    <w:rsid w:val="00296BF9"/>
    <w:rsid w:val="002A005A"/>
    <w:rsid w:val="002A3D5D"/>
    <w:rsid w:val="002A5A98"/>
    <w:rsid w:val="002B42CC"/>
    <w:rsid w:val="002C36A5"/>
    <w:rsid w:val="002D481A"/>
    <w:rsid w:val="002D4939"/>
    <w:rsid w:val="002D53EE"/>
    <w:rsid w:val="002D73E1"/>
    <w:rsid w:val="002E43D7"/>
    <w:rsid w:val="002E76E5"/>
    <w:rsid w:val="002E7FD0"/>
    <w:rsid w:val="002F689A"/>
    <w:rsid w:val="002F68A9"/>
    <w:rsid w:val="00304722"/>
    <w:rsid w:val="0030503E"/>
    <w:rsid w:val="0031274D"/>
    <w:rsid w:val="00316F05"/>
    <w:rsid w:val="00320096"/>
    <w:rsid w:val="0032185B"/>
    <w:rsid w:val="0032223C"/>
    <w:rsid w:val="003250AD"/>
    <w:rsid w:val="00327CF7"/>
    <w:rsid w:val="0033774A"/>
    <w:rsid w:val="00341204"/>
    <w:rsid w:val="00353428"/>
    <w:rsid w:val="00372FC9"/>
    <w:rsid w:val="003745EC"/>
    <w:rsid w:val="0037607E"/>
    <w:rsid w:val="003841E2"/>
    <w:rsid w:val="00387318"/>
    <w:rsid w:val="00387667"/>
    <w:rsid w:val="003900C0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5097"/>
    <w:rsid w:val="003E60D6"/>
    <w:rsid w:val="003E73CA"/>
    <w:rsid w:val="003F38AB"/>
    <w:rsid w:val="00403A9C"/>
    <w:rsid w:val="004115D9"/>
    <w:rsid w:val="00411E47"/>
    <w:rsid w:val="00412CC2"/>
    <w:rsid w:val="00420169"/>
    <w:rsid w:val="0042783A"/>
    <w:rsid w:val="0043345C"/>
    <w:rsid w:val="00433E4F"/>
    <w:rsid w:val="00434040"/>
    <w:rsid w:val="00435CE3"/>
    <w:rsid w:val="00442646"/>
    <w:rsid w:val="00442F77"/>
    <w:rsid w:val="00443981"/>
    <w:rsid w:val="004530A7"/>
    <w:rsid w:val="00453C9C"/>
    <w:rsid w:val="00456307"/>
    <w:rsid w:val="00467BC0"/>
    <w:rsid w:val="0047038B"/>
    <w:rsid w:val="00470844"/>
    <w:rsid w:val="00472B8B"/>
    <w:rsid w:val="00490B2B"/>
    <w:rsid w:val="00491B54"/>
    <w:rsid w:val="00496733"/>
    <w:rsid w:val="0049772B"/>
    <w:rsid w:val="004A1CE8"/>
    <w:rsid w:val="004A554D"/>
    <w:rsid w:val="004B2BA6"/>
    <w:rsid w:val="004B473F"/>
    <w:rsid w:val="004B4798"/>
    <w:rsid w:val="004C0DD9"/>
    <w:rsid w:val="004C144F"/>
    <w:rsid w:val="004D70F9"/>
    <w:rsid w:val="004E4C16"/>
    <w:rsid w:val="004E5AA4"/>
    <w:rsid w:val="004F3452"/>
    <w:rsid w:val="0050107D"/>
    <w:rsid w:val="00503187"/>
    <w:rsid w:val="00503DD6"/>
    <w:rsid w:val="00505065"/>
    <w:rsid w:val="0052379D"/>
    <w:rsid w:val="0053093D"/>
    <w:rsid w:val="00534C35"/>
    <w:rsid w:val="005420FD"/>
    <w:rsid w:val="00543F9C"/>
    <w:rsid w:val="0055067A"/>
    <w:rsid w:val="00551A83"/>
    <w:rsid w:val="00557F89"/>
    <w:rsid w:val="005610CB"/>
    <w:rsid w:val="00561BD1"/>
    <w:rsid w:val="0057357F"/>
    <w:rsid w:val="00576A91"/>
    <w:rsid w:val="00584222"/>
    <w:rsid w:val="0058434E"/>
    <w:rsid w:val="00584B26"/>
    <w:rsid w:val="00585B82"/>
    <w:rsid w:val="005906FC"/>
    <w:rsid w:val="005913A5"/>
    <w:rsid w:val="00596DB2"/>
    <w:rsid w:val="005970B6"/>
    <w:rsid w:val="005A0BA8"/>
    <w:rsid w:val="005B06D4"/>
    <w:rsid w:val="005B1FDE"/>
    <w:rsid w:val="005B40E5"/>
    <w:rsid w:val="005C57E0"/>
    <w:rsid w:val="005D29FE"/>
    <w:rsid w:val="005D7F9C"/>
    <w:rsid w:val="005E7B32"/>
    <w:rsid w:val="005F7ED5"/>
    <w:rsid w:val="006000D8"/>
    <w:rsid w:val="00604110"/>
    <w:rsid w:val="0063035E"/>
    <w:rsid w:val="0063581B"/>
    <w:rsid w:val="006374A1"/>
    <w:rsid w:val="00641F9F"/>
    <w:rsid w:val="006468F5"/>
    <w:rsid w:val="00652EAF"/>
    <w:rsid w:val="00653D82"/>
    <w:rsid w:val="006606C5"/>
    <w:rsid w:val="00662E88"/>
    <w:rsid w:val="0066336D"/>
    <w:rsid w:val="00664834"/>
    <w:rsid w:val="00677766"/>
    <w:rsid w:val="00681845"/>
    <w:rsid w:val="0068713F"/>
    <w:rsid w:val="006909EF"/>
    <w:rsid w:val="006938BF"/>
    <w:rsid w:val="006948E2"/>
    <w:rsid w:val="00694B5D"/>
    <w:rsid w:val="00695ACD"/>
    <w:rsid w:val="006A727D"/>
    <w:rsid w:val="006A7679"/>
    <w:rsid w:val="006B04E8"/>
    <w:rsid w:val="006B10DB"/>
    <w:rsid w:val="006B36E8"/>
    <w:rsid w:val="006B6212"/>
    <w:rsid w:val="006C0410"/>
    <w:rsid w:val="006D01D8"/>
    <w:rsid w:val="006D683C"/>
    <w:rsid w:val="006E15A6"/>
    <w:rsid w:val="006E23FD"/>
    <w:rsid w:val="006E40BA"/>
    <w:rsid w:val="006E5E99"/>
    <w:rsid w:val="006F7079"/>
    <w:rsid w:val="00702AC7"/>
    <w:rsid w:val="00703A99"/>
    <w:rsid w:val="00710F35"/>
    <w:rsid w:val="007218D0"/>
    <w:rsid w:val="00731635"/>
    <w:rsid w:val="00732DC3"/>
    <w:rsid w:val="007336C9"/>
    <w:rsid w:val="0073373F"/>
    <w:rsid w:val="007355C7"/>
    <w:rsid w:val="00744587"/>
    <w:rsid w:val="00745D9A"/>
    <w:rsid w:val="00747AF7"/>
    <w:rsid w:val="00750F3E"/>
    <w:rsid w:val="00751FD8"/>
    <w:rsid w:val="00757555"/>
    <w:rsid w:val="00766104"/>
    <w:rsid w:val="00772054"/>
    <w:rsid w:val="0077456B"/>
    <w:rsid w:val="00781EB4"/>
    <w:rsid w:val="00795480"/>
    <w:rsid w:val="007A072F"/>
    <w:rsid w:val="007A0E99"/>
    <w:rsid w:val="007A1FCC"/>
    <w:rsid w:val="007A7817"/>
    <w:rsid w:val="007B07E7"/>
    <w:rsid w:val="007B3E94"/>
    <w:rsid w:val="007B558D"/>
    <w:rsid w:val="007B5B0B"/>
    <w:rsid w:val="007B5ED0"/>
    <w:rsid w:val="007B67AF"/>
    <w:rsid w:val="007C13C6"/>
    <w:rsid w:val="007C2BB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0662"/>
    <w:rsid w:val="008134FC"/>
    <w:rsid w:val="00824C8E"/>
    <w:rsid w:val="00837771"/>
    <w:rsid w:val="008405F2"/>
    <w:rsid w:val="0084142F"/>
    <w:rsid w:val="008428CB"/>
    <w:rsid w:val="0084464A"/>
    <w:rsid w:val="0084485C"/>
    <w:rsid w:val="00844ED5"/>
    <w:rsid w:val="0084679A"/>
    <w:rsid w:val="00846A9E"/>
    <w:rsid w:val="008507EB"/>
    <w:rsid w:val="00850CA2"/>
    <w:rsid w:val="008522D5"/>
    <w:rsid w:val="00853748"/>
    <w:rsid w:val="008544C2"/>
    <w:rsid w:val="00855013"/>
    <w:rsid w:val="00861D8D"/>
    <w:rsid w:val="008647D9"/>
    <w:rsid w:val="00882307"/>
    <w:rsid w:val="00884B9C"/>
    <w:rsid w:val="00887454"/>
    <w:rsid w:val="00892330"/>
    <w:rsid w:val="008A39EB"/>
    <w:rsid w:val="008B17F1"/>
    <w:rsid w:val="008B2D34"/>
    <w:rsid w:val="008B667C"/>
    <w:rsid w:val="008C0872"/>
    <w:rsid w:val="008C7A42"/>
    <w:rsid w:val="00910D86"/>
    <w:rsid w:val="009122B3"/>
    <w:rsid w:val="00912FBD"/>
    <w:rsid w:val="009232CB"/>
    <w:rsid w:val="00923467"/>
    <w:rsid w:val="009269C0"/>
    <w:rsid w:val="009327E6"/>
    <w:rsid w:val="00934FC0"/>
    <w:rsid w:val="00936ABF"/>
    <w:rsid w:val="00937D79"/>
    <w:rsid w:val="009410B8"/>
    <w:rsid w:val="00941B71"/>
    <w:rsid w:val="00945B11"/>
    <w:rsid w:val="009464B8"/>
    <w:rsid w:val="00946E1F"/>
    <w:rsid w:val="00954AB6"/>
    <w:rsid w:val="00962777"/>
    <w:rsid w:val="00964DEC"/>
    <w:rsid w:val="00966EA5"/>
    <w:rsid w:val="00980267"/>
    <w:rsid w:val="00981275"/>
    <w:rsid w:val="00981536"/>
    <w:rsid w:val="0098360E"/>
    <w:rsid w:val="00985126"/>
    <w:rsid w:val="0099040A"/>
    <w:rsid w:val="009923DF"/>
    <w:rsid w:val="009A6F47"/>
    <w:rsid w:val="009B6656"/>
    <w:rsid w:val="009C28F2"/>
    <w:rsid w:val="009D1351"/>
    <w:rsid w:val="009E1744"/>
    <w:rsid w:val="009E39EC"/>
    <w:rsid w:val="009E4AC5"/>
    <w:rsid w:val="009F2709"/>
    <w:rsid w:val="00A050AA"/>
    <w:rsid w:val="00A06443"/>
    <w:rsid w:val="00A06521"/>
    <w:rsid w:val="00A128FC"/>
    <w:rsid w:val="00A14EC9"/>
    <w:rsid w:val="00A1558B"/>
    <w:rsid w:val="00A23E8D"/>
    <w:rsid w:val="00A31683"/>
    <w:rsid w:val="00A33FED"/>
    <w:rsid w:val="00A34999"/>
    <w:rsid w:val="00A4710B"/>
    <w:rsid w:val="00A47614"/>
    <w:rsid w:val="00A61FAF"/>
    <w:rsid w:val="00A63B6C"/>
    <w:rsid w:val="00A640E0"/>
    <w:rsid w:val="00A67E8D"/>
    <w:rsid w:val="00A7142F"/>
    <w:rsid w:val="00A87ED0"/>
    <w:rsid w:val="00A92963"/>
    <w:rsid w:val="00AA077E"/>
    <w:rsid w:val="00AA4D2D"/>
    <w:rsid w:val="00AA54AD"/>
    <w:rsid w:val="00AB2C99"/>
    <w:rsid w:val="00AB2EDA"/>
    <w:rsid w:val="00AB32F6"/>
    <w:rsid w:val="00AB53E1"/>
    <w:rsid w:val="00AB5571"/>
    <w:rsid w:val="00AC1F4A"/>
    <w:rsid w:val="00AC4F64"/>
    <w:rsid w:val="00AC6BEF"/>
    <w:rsid w:val="00AC70C6"/>
    <w:rsid w:val="00AC7E5F"/>
    <w:rsid w:val="00AE3C3F"/>
    <w:rsid w:val="00AE5671"/>
    <w:rsid w:val="00AE6E83"/>
    <w:rsid w:val="00AF67BE"/>
    <w:rsid w:val="00B04704"/>
    <w:rsid w:val="00B06970"/>
    <w:rsid w:val="00B142AC"/>
    <w:rsid w:val="00B146CD"/>
    <w:rsid w:val="00B21CC3"/>
    <w:rsid w:val="00B30128"/>
    <w:rsid w:val="00B345DE"/>
    <w:rsid w:val="00B35896"/>
    <w:rsid w:val="00B41BD9"/>
    <w:rsid w:val="00B43A5A"/>
    <w:rsid w:val="00B441E0"/>
    <w:rsid w:val="00B45BE5"/>
    <w:rsid w:val="00B46C41"/>
    <w:rsid w:val="00B47474"/>
    <w:rsid w:val="00B564D8"/>
    <w:rsid w:val="00B62DF2"/>
    <w:rsid w:val="00B64F6C"/>
    <w:rsid w:val="00B67330"/>
    <w:rsid w:val="00B70948"/>
    <w:rsid w:val="00B70D7E"/>
    <w:rsid w:val="00B7158A"/>
    <w:rsid w:val="00B72E2C"/>
    <w:rsid w:val="00B7408A"/>
    <w:rsid w:val="00B744E0"/>
    <w:rsid w:val="00B823A0"/>
    <w:rsid w:val="00B82B7A"/>
    <w:rsid w:val="00B84F6A"/>
    <w:rsid w:val="00B9630F"/>
    <w:rsid w:val="00BA1F12"/>
    <w:rsid w:val="00BA2434"/>
    <w:rsid w:val="00BA2DBC"/>
    <w:rsid w:val="00BA3FB7"/>
    <w:rsid w:val="00BB1331"/>
    <w:rsid w:val="00BB149F"/>
    <w:rsid w:val="00BB19BD"/>
    <w:rsid w:val="00BB27B4"/>
    <w:rsid w:val="00BB2980"/>
    <w:rsid w:val="00BC1309"/>
    <w:rsid w:val="00BD3CCA"/>
    <w:rsid w:val="00BD5BFD"/>
    <w:rsid w:val="00BD6969"/>
    <w:rsid w:val="00BE3B72"/>
    <w:rsid w:val="00BF0485"/>
    <w:rsid w:val="00C02706"/>
    <w:rsid w:val="00C11B90"/>
    <w:rsid w:val="00C220E2"/>
    <w:rsid w:val="00C2280B"/>
    <w:rsid w:val="00C26F1A"/>
    <w:rsid w:val="00C32F3A"/>
    <w:rsid w:val="00C33F82"/>
    <w:rsid w:val="00C36031"/>
    <w:rsid w:val="00C40291"/>
    <w:rsid w:val="00C47C93"/>
    <w:rsid w:val="00C57CB9"/>
    <w:rsid w:val="00C61E40"/>
    <w:rsid w:val="00C61EAF"/>
    <w:rsid w:val="00C65917"/>
    <w:rsid w:val="00C8203A"/>
    <w:rsid w:val="00C940B5"/>
    <w:rsid w:val="00C97B83"/>
    <w:rsid w:val="00CA0AB7"/>
    <w:rsid w:val="00CA1BB3"/>
    <w:rsid w:val="00CB5C91"/>
    <w:rsid w:val="00CC39D3"/>
    <w:rsid w:val="00CC5122"/>
    <w:rsid w:val="00CD1C0C"/>
    <w:rsid w:val="00CD22F3"/>
    <w:rsid w:val="00CD696B"/>
    <w:rsid w:val="00CE40C1"/>
    <w:rsid w:val="00CF1764"/>
    <w:rsid w:val="00CF7CE6"/>
    <w:rsid w:val="00D02E12"/>
    <w:rsid w:val="00D07AEF"/>
    <w:rsid w:val="00D2295D"/>
    <w:rsid w:val="00D322FB"/>
    <w:rsid w:val="00D370AF"/>
    <w:rsid w:val="00D415AC"/>
    <w:rsid w:val="00D42678"/>
    <w:rsid w:val="00D44957"/>
    <w:rsid w:val="00D52C26"/>
    <w:rsid w:val="00D55CBB"/>
    <w:rsid w:val="00D55D74"/>
    <w:rsid w:val="00D570D1"/>
    <w:rsid w:val="00D651E1"/>
    <w:rsid w:val="00D67DD8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6073"/>
    <w:rsid w:val="00DA199B"/>
    <w:rsid w:val="00DA3531"/>
    <w:rsid w:val="00DA54D0"/>
    <w:rsid w:val="00DB2C71"/>
    <w:rsid w:val="00DB54B6"/>
    <w:rsid w:val="00DB5EDC"/>
    <w:rsid w:val="00DC65A3"/>
    <w:rsid w:val="00DC74CA"/>
    <w:rsid w:val="00DD1205"/>
    <w:rsid w:val="00DD263A"/>
    <w:rsid w:val="00DE5C3C"/>
    <w:rsid w:val="00DF4180"/>
    <w:rsid w:val="00DF739B"/>
    <w:rsid w:val="00E11F06"/>
    <w:rsid w:val="00E130EE"/>
    <w:rsid w:val="00E13C77"/>
    <w:rsid w:val="00E13F43"/>
    <w:rsid w:val="00E17016"/>
    <w:rsid w:val="00E20A0F"/>
    <w:rsid w:val="00E24D07"/>
    <w:rsid w:val="00E24F0A"/>
    <w:rsid w:val="00E27923"/>
    <w:rsid w:val="00E313AB"/>
    <w:rsid w:val="00E35884"/>
    <w:rsid w:val="00E40729"/>
    <w:rsid w:val="00E43201"/>
    <w:rsid w:val="00E44453"/>
    <w:rsid w:val="00E47B26"/>
    <w:rsid w:val="00E51F4E"/>
    <w:rsid w:val="00E53A5C"/>
    <w:rsid w:val="00E55270"/>
    <w:rsid w:val="00E5565D"/>
    <w:rsid w:val="00E60535"/>
    <w:rsid w:val="00E65132"/>
    <w:rsid w:val="00E7691C"/>
    <w:rsid w:val="00E87575"/>
    <w:rsid w:val="00E940FA"/>
    <w:rsid w:val="00E96289"/>
    <w:rsid w:val="00E96D65"/>
    <w:rsid w:val="00EA4C28"/>
    <w:rsid w:val="00EA6EE7"/>
    <w:rsid w:val="00EB09F2"/>
    <w:rsid w:val="00EC1C60"/>
    <w:rsid w:val="00EC2D2D"/>
    <w:rsid w:val="00EC37DE"/>
    <w:rsid w:val="00ED0A7A"/>
    <w:rsid w:val="00ED3B40"/>
    <w:rsid w:val="00ED6D41"/>
    <w:rsid w:val="00EE5769"/>
    <w:rsid w:val="00EF091F"/>
    <w:rsid w:val="00EF47D6"/>
    <w:rsid w:val="00F050BE"/>
    <w:rsid w:val="00F10595"/>
    <w:rsid w:val="00F10A8C"/>
    <w:rsid w:val="00F13333"/>
    <w:rsid w:val="00F23EB7"/>
    <w:rsid w:val="00F272CE"/>
    <w:rsid w:val="00F301A8"/>
    <w:rsid w:val="00F320D6"/>
    <w:rsid w:val="00F33967"/>
    <w:rsid w:val="00F360CB"/>
    <w:rsid w:val="00F46D76"/>
    <w:rsid w:val="00F509DE"/>
    <w:rsid w:val="00F514ED"/>
    <w:rsid w:val="00F5270D"/>
    <w:rsid w:val="00F67E60"/>
    <w:rsid w:val="00F7148B"/>
    <w:rsid w:val="00F733D8"/>
    <w:rsid w:val="00F74558"/>
    <w:rsid w:val="00F80587"/>
    <w:rsid w:val="00F805BD"/>
    <w:rsid w:val="00F82EE0"/>
    <w:rsid w:val="00F83E13"/>
    <w:rsid w:val="00F85783"/>
    <w:rsid w:val="00F86F51"/>
    <w:rsid w:val="00F86F7A"/>
    <w:rsid w:val="00F903A5"/>
    <w:rsid w:val="00FA0106"/>
    <w:rsid w:val="00FA6F79"/>
    <w:rsid w:val="00FA7D95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BB0F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348</cp:revision>
  <dcterms:created xsi:type="dcterms:W3CDTF">2019-10-16T10:03:00Z</dcterms:created>
  <dcterms:modified xsi:type="dcterms:W3CDTF">2020-07-08T10:51:00Z</dcterms:modified>
</cp:coreProperties>
</file>